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98A2C6">
      <w:pPr>
        <w:pStyle w:val="4"/>
        <w:spacing w:before="0" w:beforeAutospacing="0" w:after="0" w:afterAutospacing="0" w:line="504" w:lineRule="atLeast"/>
        <w:ind w:firstLine="560"/>
        <w:rPr>
          <w:rFonts w:ascii="仿宋" w:hAnsi="仿宋" w:eastAsia="仿宋"/>
          <w:color w:val="auto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附件2：</w:t>
      </w:r>
      <w:r>
        <w:rPr>
          <w:rFonts w:hint="eastAsia" w:ascii="仿宋" w:hAnsi="仿宋" w:eastAsia="仿宋"/>
          <w:color w:val="auto"/>
          <w:sz w:val="28"/>
          <w:szCs w:val="28"/>
        </w:rPr>
        <w:t>报价单格式</w:t>
      </w:r>
    </w:p>
    <w:p w14:paraId="6B69A312">
      <w:pPr>
        <w:widowControl/>
        <w:adjustRightInd w:val="0"/>
        <w:snapToGrid w:val="0"/>
        <w:spacing w:before="100" w:beforeAutospacing="1" w:after="100" w:afterAutospacing="1" w:line="360" w:lineRule="auto"/>
        <w:ind w:firstLine="561"/>
        <w:jc w:val="center"/>
        <w:rPr>
          <w:rFonts w:asciiTheme="majorEastAsia" w:hAnsiTheme="majorEastAsia" w:eastAsiaTheme="majorEastAsia"/>
          <w:b/>
          <w:sz w:val="36"/>
          <w:szCs w:val="36"/>
        </w:rPr>
      </w:pPr>
      <w:r>
        <w:rPr>
          <w:rFonts w:hint="eastAsia" w:asciiTheme="majorEastAsia" w:hAnsiTheme="majorEastAsia" w:eastAsiaTheme="majorEastAsia"/>
          <w:b/>
          <w:sz w:val="36"/>
          <w:szCs w:val="36"/>
        </w:rPr>
        <w:t>安徽</w:t>
      </w:r>
      <w:r>
        <w:rPr>
          <w:rFonts w:hint="eastAsia" w:asciiTheme="majorEastAsia" w:hAnsiTheme="majorEastAsia" w:eastAsiaTheme="majorEastAsia"/>
          <w:b/>
          <w:sz w:val="36"/>
          <w:szCs w:val="36"/>
          <w:lang w:val="en-US" w:eastAsia="zh-CN"/>
        </w:rPr>
        <w:t>省医学科学研究院</w:t>
      </w:r>
      <w:r>
        <w:rPr>
          <w:rFonts w:hint="eastAsia" w:asciiTheme="majorEastAsia" w:hAnsiTheme="majorEastAsia" w:eastAsiaTheme="majorEastAsia"/>
          <w:b/>
          <w:sz w:val="36"/>
          <w:szCs w:val="36"/>
        </w:rPr>
        <w:t>202</w:t>
      </w:r>
      <w:r>
        <w:rPr>
          <w:rFonts w:hint="eastAsia" w:asciiTheme="majorEastAsia" w:hAnsiTheme="majorEastAsia" w:eastAsiaTheme="majorEastAsia"/>
          <w:b/>
          <w:sz w:val="36"/>
          <w:szCs w:val="36"/>
          <w:lang w:val="en-US" w:eastAsia="zh-CN"/>
        </w:rPr>
        <w:t>6</w:t>
      </w:r>
      <w:r>
        <w:rPr>
          <w:rFonts w:hint="eastAsia" w:asciiTheme="majorEastAsia" w:hAnsiTheme="majorEastAsia" w:eastAsiaTheme="majorEastAsia"/>
          <w:b/>
          <w:sz w:val="36"/>
          <w:szCs w:val="36"/>
        </w:rPr>
        <w:t>年公开处置</w:t>
      </w:r>
      <w:r>
        <w:rPr>
          <w:rFonts w:hint="eastAsia"/>
          <w:b/>
          <w:bCs/>
          <w:sz w:val="36"/>
          <w:szCs w:val="36"/>
        </w:rPr>
        <w:t>报废</w:t>
      </w:r>
      <w:r>
        <w:rPr>
          <w:rFonts w:hint="eastAsia"/>
          <w:b/>
          <w:bCs/>
          <w:sz w:val="36"/>
          <w:szCs w:val="36"/>
          <w:lang w:val="en-US" w:eastAsia="zh-CN"/>
        </w:rPr>
        <w:t>家具、仪器设备</w:t>
      </w:r>
      <w:r>
        <w:rPr>
          <w:rFonts w:hint="eastAsia" w:asciiTheme="majorEastAsia" w:hAnsiTheme="majorEastAsia" w:eastAsiaTheme="majorEastAsia"/>
          <w:b/>
          <w:sz w:val="36"/>
          <w:szCs w:val="36"/>
        </w:rPr>
        <w:t>资产竞价项目报价单</w:t>
      </w:r>
    </w:p>
    <w:tbl>
      <w:tblPr>
        <w:tblStyle w:val="5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04"/>
        <w:gridCol w:w="6218"/>
      </w:tblGrid>
      <w:tr w14:paraId="3B14F2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230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B6EDD1">
            <w:pPr>
              <w:widowControl/>
              <w:wordWrap w:val="0"/>
              <w:spacing w:line="440" w:lineRule="exact"/>
              <w:jc w:val="center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项目名称</w:t>
            </w:r>
          </w:p>
        </w:tc>
        <w:tc>
          <w:tcPr>
            <w:tcW w:w="621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F0E1BC">
            <w:pPr>
              <w:wordWrap w:val="0"/>
              <w:spacing w:line="440" w:lineRule="exact"/>
              <w:jc w:val="center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安徽</w:t>
            </w:r>
            <w:r>
              <w:rPr>
                <w:rFonts w:hint="eastAsia" w:ascii="宋体" w:hAnsi="宋体" w:eastAsia="宋体" w:cs="宋体"/>
                <w:bCs/>
                <w:sz w:val="24"/>
                <w:lang w:val="en-US" w:eastAsia="zh-CN"/>
              </w:rPr>
              <w:t>省医学科学研究院</w:t>
            </w:r>
            <w:r>
              <w:rPr>
                <w:rFonts w:hint="eastAsia" w:ascii="宋体" w:hAnsi="宋体" w:eastAsia="宋体" w:cs="宋体"/>
                <w:bCs/>
                <w:sz w:val="24"/>
              </w:rPr>
              <w:t>202</w:t>
            </w:r>
            <w:r>
              <w:rPr>
                <w:rFonts w:hint="eastAsia" w:ascii="宋体" w:hAnsi="宋体" w:eastAsia="宋体" w:cs="宋体"/>
                <w:bCs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bCs/>
                <w:sz w:val="24"/>
              </w:rPr>
              <w:t>年公开处置报废</w:t>
            </w:r>
            <w:r>
              <w:rPr>
                <w:rFonts w:hint="eastAsia" w:ascii="宋体" w:hAnsi="宋体" w:eastAsia="宋体" w:cs="宋体"/>
                <w:bCs/>
                <w:sz w:val="24"/>
                <w:lang w:val="en-US" w:eastAsia="zh-CN"/>
              </w:rPr>
              <w:t>家具、仪器设备</w:t>
            </w:r>
            <w:r>
              <w:rPr>
                <w:rFonts w:hint="eastAsia" w:ascii="宋体" w:hAnsi="宋体" w:eastAsia="宋体" w:cs="宋体"/>
                <w:bCs/>
                <w:sz w:val="24"/>
              </w:rPr>
              <w:t xml:space="preserve">资产竞价项目 </w:t>
            </w:r>
          </w:p>
        </w:tc>
      </w:tr>
      <w:tr w14:paraId="113A2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2304" w:type="dxa"/>
            <w:tcBorders>
              <w:top w:val="nil"/>
            </w:tcBorders>
            <w:vAlign w:val="center"/>
          </w:tcPr>
          <w:p w14:paraId="52CEF364">
            <w:pPr>
              <w:wordWrap w:val="0"/>
              <w:spacing w:line="440" w:lineRule="exact"/>
              <w:jc w:val="center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报价人全称</w:t>
            </w:r>
          </w:p>
        </w:tc>
        <w:tc>
          <w:tcPr>
            <w:tcW w:w="6218" w:type="dxa"/>
            <w:tcBorders>
              <w:top w:val="nil"/>
            </w:tcBorders>
            <w:vAlign w:val="center"/>
          </w:tcPr>
          <w:p w14:paraId="0744A9DB">
            <w:pPr>
              <w:wordWrap w:val="0"/>
              <w:spacing w:line="440" w:lineRule="exact"/>
              <w:rPr>
                <w:rFonts w:ascii="宋体" w:hAnsi="宋体" w:eastAsia="宋体" w:cs="宋体"/>
                <w:bCs/>
                <w:sz w:val="24"/>
              </w:rPr>
            </w:pPr>
          </w:p>
        </w:tc>
      </w:tr>
      <w:tr w14:paraId="18FF8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2304" w:type="dxa"/>
            <w:tcBorders>
              <w:top w:val="nil"/>
            </w:tcBorders>
            <w:vAlign w:val="center"/>
          </w:tcPr>
          <w:p w14:paraId="7E0FD6D0">
            <w:pPr>
              <w:wordWrap w:val="0"/>
              <w:spacing w:line="440" w:lineRule="exact"/>
              <w:jc w:val="center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报价范围</w:t>
            </w:r>
          </w:p>
        </w:tc>
        <w:tc>
          <w:tcPr>
            <w:tcW w:w="6218" w:type="dxa"/>
            <w:tcBorders>
              <w:top w:val="nil"/>
            </w:tcBorders>
            <w:vAlign w:val="center"/>
          </w:tcPr>
          <w:p w14:paraId="2C763C3C">
            <w:pPr>
              <w:widowControl/>
              <w:wordWrap w:val="0"/>
              <w:spacing w:line="440" w:lineRule="exact"/>
              <w:jc w:val="center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8"/>
              </w:rPr>
              <w:t>全部</w:t>
            </w:r>
          </w:p>
        </w:tc>
      </w:tr>
      <w:tr w14:paraId="2092C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38" w:hRule="atLeast"/>
          <w:jc w:val="center"/>
        </w:trPr>
        <w:tc>
          <w:tcPr>
            <w:tcW w:w="2304" w:type="dxa"/>
            <w:tcBorders>
              <w:top w:val="nil"/>
            </w:tcBorders>
            <w:vAlign w:val="center"/>
          </w:tcPr>
          <w:p w14:paraId="25931407">
            <w:pPr>
              <w:wordWrap w:val="0"/>
              <w:spacing w:line="440" w:lineRule="exact"/>
              <w:jc w:val="center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总报价</w:t>
            </w:r>
          </w:p>
          <w:p w14:paraId="66EB49A3">
            <w:pPr>
              <w:wordWrap w:val="0"/>
              <w:spacing w:line="440" w:lineRule="exact"/>
              <w:jc w:val="center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（单位：元）</w:t>
            </w:r>
          </w:p>
        </w:tc>
        <w:tc>
          <w:tcPr>
            <w:tcW w:w="6218" w:type="dxa"/>
            <w:tcBorders>
              <w:top w:val="nil"/>
            </w:tcBorders>
            <w:vAlign w:val="center"/>
          </w:tcPr>
          <w:p w14:paraId="49FB94C1">
            <w:pPr>
              <w:wordWrap w:val="0"/>
              <w:spacing w:line="440" w:lineRule="exact"/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  <w:p w14:paraId="1395CBA1">
            <w:pPr>
              <w:wordWrap w:val="0"/>
              <w:spacing w:line="440" w:lineRule="exact"/>
              <w:jc w:val="left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大写：</w:t>
            </w:r>
            <w:r>
              <w:rPr>
                <w:rFonts w:hint="eastAsia" w:ascii="宋体" w:hAnsi="宋体" w:eastAsia="宋体" w:cs="宋体"/>
                <w:bCs/>
                <w:sz w:val="24"/>
              </w:rPr>
              <w:softHyphen/>
            </w:r>
            <w:r>
              <w:rPr>
                <w:rFonts w:ascii="宋体" w:hAnsi="宋体" w:eastAsia="宋体" w:cs="宋体"/>
                <w:bCs/>
                <w:sz w:val="24"/>
              </w:rPr>
              <w:softHyphen/>
            </w:r>
            <w:r>
              <w:rPr>
                <w:rFonts w:hint="eastAsia" w:ascii="宋体" w:hAnsi="宋体" w:eastAsia="宋体" w:cs="宋体"/>
                <w:bCs/>
                <w:sz w:val="24"/>
              </w:rPr>
              <w:softHyphen/>
            </w:r>
            <w:r>
              <w:rPr>
                <w:rFonts w:hint="eastAsia" w:ascii="宋体" w:hAnsi="宋体" w:eastAsia="宋体" w:cs="宋体"/>
                <w:bCs/>
                <w:sz w:val="24"/>
              </w:rPr>
              <w:softHyphen/>
            </w:r>
            <w:r>
              <w:rPr>
                <w:rFonts w:hint="eastAsia" w:ascii="宋体" w:hAnsi="宋体" w:eastAsia="宋体" w:cs="宋体"/>
                <w:bCs/>
                <w:sz w:val="24"/>
              </w:rPr>
              <w:softHyphen/>
            </w:r>
            <w:r>
              <w:rPr>
                <w:rFonts w:hint="eastAsia" w:ascii="宋体" w:hAnsi="宋体" w:eastAsia="宋体" w:cs="宋体"/>
                <w:bCs/>
                <w:sz w:val="24"/>
              </w:rPr>
              <w:softHyphen/>
            </w:r>
            <w:r>
              <w:rPr>
                <w:rFonts w:hint="eastAsia" w:ascii="宋体" w:hAnsi="宋体" w:eastAsia="宋体" w:cs="宋体"/>
                <w:bCs/>
                <w:sz w:val="24"/>
              </w:rPr>
              <w:softHyphen/>
            </w:r>
            <w:r>
              <w:rPr>
                <w:rFonts w:hint="eastAsia" w:ascii="宋体" w:hAnsi="宋体" w:eastAsia="宋体" w:cs="宋体"/>
                <w:bCs/>
                <w:sz w:val="24"/>
              </w:rPr>
              <w:softHyphen/>
            </w:r>
            <w:r>
              <w:rPr>
                <w:rFonts w:hint="eastAsia" w:ascii="宋体" w:hAnsi="宋体" w:eastAsia="宋体" w:cs="宋体"/>
                <w:bCs/>
                <w:sz w:val="24"/>
              </w:rPr>
              <w:softHyphen/>
            </w:r>
            <w:r>
              <w:rPr>
                <w:rFonts w:hint="eastAsia" w:ascii="宋体" w:hAnsi="宋体" w:eastAsia="宋体" w:cs="宋体"/>
                <w:bCs/>
                <w:sz w:val="24"/>
              </w:rPr>
              <w:softHyphen/>
            </w:r>
            <w:r>
              <w:rPr>
                <w:rFonts w:hint="eastAsia" w:ascii="宋体" w:hAnsi="宋体" w:eastAsia="宋体" w:cs="宋体"/>
                <w:bCs/>
                <w:sz w:val="24"/>
              </w:rPr>
              <w:softHyphen/>
            </w:r>
            <w:r>
              <w:rPr>
                <w:rFonts w:hint="eastAsia" w:ascii="宋体" w:hAnsi="宋体" w:eastAsia="宋体" w:cs="宋体"/>
                <w:bCs/>
                <w:sz w:val="24"/>
              </w:rPr>
              <w:softHyphen/>
            </w:r>
            <w:r>
              <w:rPr>
                <w:rFonts w:hint="eastAsia" w:ascii="宋体" w:hAnsi="宋体" w:eastAsia="宋体" w:cs="宋体"/>
                <w:bCs/>
                <w:sz w:val="24"/>
              </w:rPr>
              <w:softHyphen/>
            </w:r>
            <w:r>
              <w:rPr>
                <w:rFonts w:hint="eastAsia" w:ascii="宋体" w:hAnsi="宋体" w:eastAsia="宋体" w:cs="宋体"/>
                <w:bCs/>
                <w:sz w:val="24"/>
              </w:rPr>
              <w:softHyphen/>
            </w:r>
            <w:r>
              <w:rPr>
                <w:rFonts w:hint="eastAsia" w:ascii="宋体" w:hAnsi="宋体" w:eastAsia="宋体" w:cs="宋体"/>
                <w:bCs/>
                <w:sz w:val="24"/>
              </w:rPr>
              <w:softHyphen/>
            </w:r>
            <w:r>
              <w:rPr>
                <w:rFonts w:hint="eastAsia" w:ascii="宋体" w:hAnsi="宋体" w:eastAsia="宋体" w:cs="宋体"/>
                <w:bCs/>
                <w:sz w:val="24"/>
              </w:rPr>
              <w:softHyphen/>
            </w:r>
            <w:r>
              <w:rPr>
                <w:rFonts w:hint="eastAsia" w:ascii="宋体" w:hAnsi="宋体" w:eastAsia="宋体" w:cs="宋体"/>
                <w:bCs/>
                <w:sz w:val="24"/>
                <w:u w:val="single"/>
              </w:rPr>
              <w:t xml:space="preserve">           </w:t>
            </w:r>
            <w:r>
              <w:rPr>
                <w:rFonts w:hint="eastAsia" w:ascii="宋体" w:hAnsi="宋体" w:eastAsia="宋体" w:cs="宋体"/>
                <w:b/>
                <w:sz w:val="24"/>
                <w:u w:val="single"/>
              </w:rPr>
              <w:t xml:space="preserve"> </w:t>
            </w:r>
          </w:p>
          <w:p w14:paraId="149863B3">
            <w:pPr>
              <w:wordWrap w:val="0"/>
              <w:spacing w:line="440" w:lineRule="exact"/>
              <w:jc w:val="left"/>
              <w:rPr>
                <w:rFonts w:ascii="宋体" w:hAnsi="宋体" w:eastAsia="宋体" w:cs="宋体"/>
                <w:b/>
                <w:sz w:val="24"/>
                <w:u w:val="single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小写：</w:t>
            </w:r>
            <w:r>
              <w:rPr>
                <w:rFonts w:hint="eastAsia" w:ascii="宋体" w:hAnsi="宋体" w:eastAsia="宋体" w:cs="宋体"/>
                <w:bCs/>
                <w:sz w:val="24"/>
                <w:u w:val="single"/>
              </w:rPr>
              <w:t xml:space="preserve">           </w:t>
            </w:r>
            <w:r>
              <w:rPr>
                <w:rFonts w:hint="eastAsia" w:ascii="宋体" w:hAnsi="宋体" w:eastAsia="宋体" w:cs="宋体"/>
                <w:b/>
                <w:sz w:val="24"/>
                <w:u w:val="single"/>
              </w:rPr>
              <w:t xml:space="preserve"> </w:t>
            </w:r>
          </w:p>
          <w:p w14:paraId="08EA4E22">
            <w:pPr>
              <w:wordWrap w:val="0"/>
              <w:spacing w:line="440" w:lineRule="exact"/>
              <w:ind w:right="-670"/>
              <w:rPr>
                <w:rFonts w:ascii="宋体" w:hAnsi="宋体" w:eastAsia="宋体" w:cs="宋体"/>
                <w:bCs/>
                <w:sz w:val="24"/>
              </w:rPr>
            </w:pPr>
          </w:p>
        </w:tc>
      </w:tr>
      <w:tr w14:paraId="2B624A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0" w:hRule="atLeast"/>
          <w:jc w:val="center"/>
        </w:trPr>
        <w:tc>
          <w:tcPr>
            <w:tcW w:w="2304" w:type="dxa"/>
            <w:tcBorders>
              <w:top w:val="nil"/>
            </w:tcBorders>
            <w:vAlign w:val="center"/>
          </w:tcPr>
          <w:p w14:paraId="4621F1D8">
            <w:pPr>
              <w:wordWrap w:val="0"/>
              <w:spacing w:line="440" w:lineRule="exact"/>
              <w:jc w:val="center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其他</w:t>
            </w:r>
          </w:p>
        </w:tc>
        <w:tc>
          <w:tcPr>
            <w:tcW w:w="6218" w:type="dxa"/>
            <w:tcBorders>
              <w:top w:val="nil"/>
            </w:tcBorders>
            <w:vAlign w:val="center"/>
          </w:tcPr>
          <w:p w14:paraId="45A645A9">
            <w:pPr>
              <w:wordWrap w:val="0"/>
              <w:spacing w:line="440" w:lineRule="exac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1.我公司承诺响应竞价公告一切要求，若提供虚假材料，愿意承担一切责任。</w:t>
            </w:r>
          </w:p>
          <w:p w14:paraId="75BF709A">
            <w:pPr>
              <w:wordWrap w:val="0"/>
              <w:spacing w:line="440" w:lineRule="exac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2.我公司承诺在被确定为成交人之日起2日内前往贵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院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全额缴纳转让金，并在5日内完成报废物资的搬运及清场工作，过程中服从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省医科院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管理和安排。</w:t>
            </w:r>
          </w:p>
          <w:p w14:paraId="3934DD96">
            <w:pPr>
              <w:wordWrap w:val="0"/>
              <w:spacing w:line="440" w:lineRule="exact"/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3.处置过程中的一切安全事故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由</w:t>
            </w:r>
            <w:bookmarkStart w:id="0" w:name="_GoBack"/>
            <w:bookmarkEnd w:id="0"/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我公司承担全部责任。</w:t>
            </w:r>
          </w:p>
        </w:tc>
      </w:tr>
    </w:tbl>
    <w:p w14:paraId="7B2E0FBF">
      <w:pPr>
        <w:pStyle w:val="4"/>
        <w:spacing w:before="0" w:beforeAutospacing="0" w:after="0" w:afterAutospacing="0" w:line="504" w:lineRule="atLeast"/>
        <w:ind w:firstLine="560"/>
        <w:rPr>
          <w:rFonts w:ascii="仿宋" w:hAnsi="仿宋" w:eastAsia="仿宋"/>
          <w:color w:val="auto"/>
          <w:sz w:val="28"/>
          <w:szCs w:val="28"/>
        </w:rPr>
      </w:pPr>
      <w:r>
        <w:rPr>
          <w:rFonts w:hint="eastAsia" w:ascii="仿宋" w:hAnsi="仿宋" w:eastAsia="仿宋"/>
          <w:color w:val="auto"/>
          <w:sz w:val="28"/>
          <w:szCs w:val="28"/>
        </w:rPr>
        <w:t>报价人：（公章）</w:t>
      </w:r>
    </w:p>
    <w:p w14:paraId="36C421E7">
      <w:pPr>
        <w:pStyle w:val="4"/>
        <w:spacing w:before="0" w:beforeAutospacing="0" w:after="0" w:afterAutospacing="0" w:line="504" w:lineRule="atLeast"/>
        <w:ind w:firstLine="560"/>
        <w:rPr>
          <w:rFonts w:ascii="仿宋" w:hAnsi="仿宋" w:eastAsia="仿宋"/>
          <w:color w:val="auto"/>
          <w:sz w:val="28"/>
          <w:szCs w:val="28"/>
        </w:rPr>
      </w:pPr>
      <w:r>
        <w:rPr>
          <w:rFonts w:hint="eastAsia" w:ascii="仿宋" w:hAnsi="仿宋" w:eastAsia="仿宋"/>
          <w:color w:val="auto"/>
          <w:sz w:val="28"/>
          <w:szCs w:val="28"/>
        </w:rPr>
        <w:t>联系人：</w:t>
      </w:r>
    </w:p>
    <w:p w14:paraId="193B9781">
      <w:pPr>
        <w:pStyle w:val="4"/>
        <w:spacing w:before="0" w:beforeAutospacing="0" w:after="0" w:afterAutospacing="0" w:line="504" w:lineRule="atLeast"/>
        <w:ind w:firstLine="560"/>
        <w:rPr>
          <w:rFonts w:ascii="仿宋" w:hAnsi="仿宋" w:eastAsia="仿宋"/>
          <w:color w:val="auto"/>
          <w:sz w:val="28"/>
          <w:szCs w:val="28"/>
        </w:rPr>
      </w:pPr>
      <w:r>
        <w:rPr>
          <w:rFonts w:hint="eastAsia" w:ascii="仿宋" w:hAnsi="仿宋" w:eastAsia="仿宋"/>
          <w:color w:val="auto"/>
          <w:sz w:val="28"/>
          <w:szCs w:val="28"/>
        </w:rPr>
        <w:t>联系电话（手机）：</w:t>
      </w:r>
    </w:p>
    <w:p w14:paraId="51D7326D">
      <w:pPr>
        <w:pStyle w:val="4"/>
        <w:spacing w:before="0" w:beforeAutospacing="0" w:after="0" w:afterAutospacing="0" w:line="504" w:lineRule="atLeast"/>
        <w:ind w:firstLine="560"/>
        <w:rPr>
          <w:rFonts w:ascii="仿宋" w:hAnsi="仿宋" w:eastAsia="仿宋"/>
          <w:color w:val="auto"/>
          <w:sz w:val="28"/>
          <w:szCs w:val="28"/>
        </w:rPr>
      </w:pPr>
      <w:r>
        <w:rPr>
          <w:rFonts w:hint="eastAsia" w:ascii="仿宋" w:hAnsi="仿宋" w:eastAsia="仿宋"/>
          <w:color w:val="auto"/>
          <w:sz w:val="28"/>
          <w:szCs w:val="28"/>
        </w:rPr>
        <w:t>日期：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Y1YWNlYzA1YTljYzNhNDFiZDk5NmI4ZWFiMTAwNjEifQ=="/>
  </w:docVars>
  <w:rsids>
    <w:rsidRoot w:val="009246AD"/>
    <w:rsid w:val="00171778"/>
    <w:rsid w:val="001C125A"/>
    <w:rsid w:val="002622C1"/>
    <w:rsid w:val="004946B7"/>
    <w:rsid w:val="00682BBA"/>
    <w:rsid w:val="007C117C"/>
    <w:rsid w:val="00804498"/>
    <w:rsid w:val="008B4D8D"/>
    <w:rsid w:val="008F4127"/>
    <w:rsid w:val="009246AD"/>
    <w:rsid w:val="00950F3F"/>
    <w:rsid w:val="00B312D5"/>
    <w:rsid w:val="00C21FF5"/>
    <w:rsid w:val="00CC21F5"/>
    <w:rsid w:val="00D071BA"/>
    <w:rsid w:val="235B2E67"/>
    <w:rsid w:val="2A706CFE"/>
    <w:rsid w:val="2E23651F"/>
    <w:rsid w:val="3BF43FDC"/>
    <w:rsid w:val="65B5316B"/>
    <w:rsid w:val="7ECE3519"/>
    <w:rsid w:val="7FDA7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333333"/>
      <w:kern w:val="0"/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3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255</Words>
  <Characters>264</Characters>
  <Lines>2</Lines>
  <Paragraphs>1</Paragraphs>
  <TotalTime>5</TotalTime>
  <ScaleCrop>false</ScaleCrop>
  <LinksUpToDate>false</LinksUpToDate>
  <CharactersWithSpaces>289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2024-06-13T07:17:00Z</dcterms:created>
  <dc:creator>hp</dc:creator>
  <cp:lastModifiedBy>捕熊猎人</cp:lastModifiedBy>
  <dcterms:modified xsi:type="dcterms:W3CDTF">2026-06-04T07:42:03Z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568AB24B67F1439EB57E387ED574E450_13</vt:lpwstr>
  </property>
  <property fmtid="{D5CDD505-2E9C-101B-9397-08002B2CF9AE}" pid="4" name="KSOTemplateDocerSaveRecord">
    <vt:lpwstr>eyJoZGlkIjoiYWY1YWNlYzA1YTljYzNhNDFiZDk5NmI4ZWFiMTAwNjEiLCJ1c2VySWQiOiI0MDcxODY0MzAifQ==</vt:lpwstr>
  </property>
</Properties>
</file>