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/>
          <w:sz w:val="72"/>
        </w:rPr>
      </w:pPr>
      <w:r>
        <w:rPr>
          <w:rFonts w:hint="eastAsia"/>
          <w:b/>
          <w:sz w:val="72"/>
        </w:rPr>
        <w:t>项目采购需求表</w:t>
      </w:r>
    </w:p>
    <w:p>
      <w:pPr>
        <w:numPr>
          <w:ilvl w:val="0"/>
          <w:numId w:val="1"/>
        </w:numPr>
        <w:spacing w:line="360" w:lineRule="auto"/>
        <w:outlineLvl w:val="1"/>
        <w:rPr>
          <w:rFonts w:hint="eastAsia"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前附表</w:t>
      </w:r>
    </w:p>
    <w:tbl>
      <w:tblPr>
        <w:tblStyle w:val="14"/>
        <w:tblW w:w="52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 xml:space="preserve">安徽省医学科学研究院2023-2025年聘请法律顾问服务询价采购项目  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财政编号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项目预算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2万元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项目概况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详见询价文件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采购方式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项目是否分包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分包预算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不分包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投标人资格要求</w:t>
            </w:r>
          </w:p>
        </w:tc>
        <w:tc>
          <w:tcPr>
            <w:tcW w:w="3707" w:type="pct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1.满足《中华人民共和国政府采购法》第二十二条规定；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2、具有有效的营业执照；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3、具有司法部门颁发的《律师事务所执业许可证》；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4、投标人不得存在以下不良信用记录情形之一：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（1）投标人被人民法院列入失信被执行人的；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（2）投标人被税务部门列入重大税收违法案件当事人名单的。</w:t>
            </w:r>
          </w:p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付款方式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bCs/>
                <w:kern w:val="0"/>
                <w:sz w:val="24"/>
                <w:szCs w:val="28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合同款按年度结算，在合同期满前10日内，经院方评议考核后支付全部年度合同款。其中，代理诉讼活动或仲裁案件费用另行计算。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服务地点</w:t>
            </w:r>
          </w:p>
        </w:tc>
        <w:tc>
          <w:tcPr>
            <w:tcW w:w="3707" w:type="pct"/>
            <w:vAlign w:val="center"/>
          </w:tcPr>
          <w:p>
            <w:pPr>
              <w:pStyle w:val="17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/>
                <w:sz w:val="24"/>
                <w:szCs w:val="18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18"/>
              </w:rPr>
              <w:t>安徽省医学科学研究院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服务期限（工期）</w:t>
            </w:r>
          </w:p>
        </w:tc>
        <w:tc>
          <w:tcPr>
            <w:tcW w:w="3707" w:type="pct"/>
            <w:vAlign w:val="center"/>
          </w:tcPr>
          <w:p>
            <w:pPr>
              <w:spacing w:line="360" w:lineRule="auto"/>
              <w:rPr>
                <w:rFonts w:ascii="宋体" w:hAnsi="宋体" w:cs="@仿宋_GB2312"/>
                <w:sz w:val="24"/>
                <w:szCs w:val="18"/>
              </w:rPr>
            </w:pPr>
            <w:r>
              <w:rPr>
                <w:rFonts w:hint="eastAsia" w:ascii="宋体" w:hAnsi="宋体" w:cs="@仿宋_GB2312"/>
                <w:sz w:val="24"/>
                <w:szCs w:val="18"/>
              </w:rPr>
              <w:t>服务期限为三年（2023-2025年），从签订合同之日起计算，合同一年一签，采取1+1+1的模式，一年服务期满后，根据咨询的有效次数及效果，经采购人评议如能较好地履行合同义务，则续签下一年度合同，否则不续签下一年合同，项目终止，招标人重新选择服务单位。</w:t>
            </w:r>
          </w:p>
          <w:p>
            <w:pPr>
              <w:spacing w:line="360" w:lineRule="auto"/>
              <w:rPr>
                <w:rFonts w:ascii="宋体" w:hAnsi="宋体"/>
                <w:bCs/>
                <w:kern w:val="0"/>
                <w:sz w:val="24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92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是否接受联合体投标</w:t>
            </w:r>
          </w:p>
        </w:tc>
        <w:tc>
          <w:tcPr>
            <w:tcW w:w="3707" w:type="pct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不接受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92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保证金</w:t>
            </w:r>
          </w:p>
        </w:tc>
        <w:tc>
          <w:tcPr>
            <w:tcW w:w="3707" w:type="pct"/>
            <w:vAlign w:val="center"/>
          </w:tcPr>
          <w:p>
            <w:pPr>
              <w:spacing w:line="56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1.投标保证金:免收</w:t>
            </w:r>
          </w:p>
          <w:p>
            <w:pPr>
              <w:pStyle w:val="7"/>
              <w:spacing w:before="156" w:beforeLines="50" w:after="156" w:afterLines="50" w:line="560" w:lineRule="exact"/>
              <w:ind w:left="0" w:leftChars="0"/>
              <w:jc w:val="left"/>
              <w:rPr>
                <w:rFonts w:cs="宋体"/>
                <w:bCs/>
                <w:sz w:val="24"/>
                <w:szCs w:val="24"/>
              </w:rPr>
            </w:pPr>
            <w:r>
              <w:rPr>
                <w:rFonts w:hint="eastAsia" w:cs="宋体"/>
                <w:bCs/>
                <w:sz w:val="24"/>
                <w:szCs w:val="24"/>
              </w:rPr>
              <w:t>2.履约保证金：中标供应商必须于</w:t>
            </w:r>
            <w:r>
              <w:rPr>
                <w:rFonts w:hint="eastAsia" w:cs="宋体"/>
                <w:bCs/>
                <w:sz w:val="24"/>
                <w:szCs w:val="24"/>
                <w:lang w:val="en-US" w:eastAsia="zh-CN"/>
              </w:rPr>
              <w:t>成交</w:t>
            </w:r>
            <w:r>
              <w:rPr>
                <w:rFonts w:hint="eastAsia" w:cs="宋体"/>
                <w:bCs/>
                <w:sz w:val="24"/>
                <w:szCs w:val="24"/>
              </w:rPr>
              <w:t>通知书发出之日起3个工作日内缴纳履约保证金人民币1000元，通过投标人开户行转账汇入以下账号：</w:t>
            </w:r>
          </w:p>
          <w:p>
            <w:pPr>
              <w:spacing w:line="560" w:lineRule="exact"/>
              <w:jc w:val="left"/>
              <w:rPr>
                <w:rFonts w:hint="default" w:cs="宋体"/>
                <w:sz w:val="24"/>
              </w:rPr>
            </w:pPr>
            <w:r>
              <w:rPr>
                <w:rFonts w:hint="eastAsia" w:cs="宋体"/>
                <w:sz w:val="24"/>
                <w:lang w:val="zh-CN"/>
              </w:rPr>
              <w:t>户  名：安徽省医学科学研究院</w:t>
            </w:r>
          </w:p>
          <w:p>
            <w:pPr>
              <w:spacing w:line="560" w:lineRule="exact"/>
              <w:jc w:val="left"/>
              <w:rPr>
                <w:rFonts w:hint="default" w:cs="宋体"/>
                <w:sz w:val="24"/>
              </w:rPr>
            </w:pPr>
            <w:r>
              <w:rPr>
                <w:rFonts w:hint="eastAsia" w:cs="宋体"/>
                <w:sz w:val="24"/>
                <w:lang w:val="zh-CN"/>
              </w:rPr>
              <w:t>账  号：</w:t>
            </w:r>
            <w:r>
              <w:rPr>
                <w:rFonts w:hint="eastAsia" w:cs="宋体"/>
                <w:sz w:val="24"/>
              </w:rPr>
              <w:t>1302010309008801127</w:t>
            </w:r>
          </w:p>
          <w:p>
            <w:pPr>
              <w:spacing w:line="560" w:lineRule="exact"/>
              <w:jc w:val="left"/>
              <w:rPr>
                <w:rFonts w:cs="宋体"/>
                <w:sz w:val="24"/>
                <w:lang w:val="zh-CN"/>
              </w:rPr>
            </w:pPr>
            <w:r>
              <w:rPr>
                <w:rFonts w:hint="eastAsia" w:cs="宋体"/>
                <w:sz w:val="24"/>
                <w:lang w:val="zh-CN"/>
              </w:rPr>
              <w:t>开户行：中国工商银行合肥金寨路支行</w:t>
            </w:r>
          </w:p>
          <w:p>
            <w:pPr>
              <w:spacing w:line="56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履约保证金在合同履行完毕后无息退还。未按照要求递交履约保证金视为放弃成交资格。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中标投标人有下列情形之一的，取消其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bCs/>
                <w:sz w:val="24"/>
              </w:rPr>
              <w:t>资格，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采购人</w:t>
            </w:r>
            <w:r>
              <w:rPr>
                <w:rFonts w:hint="eastAsia" w:ascii="宋体" w:hAnsi="宋体" w:cs="宋体"/>
                <w:bCs/>
                <w:sz w:val="24"/>
              </w:rPr>
              <w:t>不予退还其交纳的保证金：(一)中标后无正当理由不与招标人签订合同的；(二)将中标项目转让或分包给他人的；(三)拒绝履行合同义务的。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9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拟采用的评标办法</w:t>
            </w:r>
          </w:p>
        </w:tc>
        <w:tc>
          <w:tcPr>
            <w:tcW w:w="3707" w:type="pc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Style w:val="16"/>
                <w:rFonts w:hint="eastAsia"/>
              </w:rPr>
              <w:t>询价项目不采用综合评分法，成交原则为</w:t>
            </w:r>
            <w:r>
              <w:rPr>
                <w:rStyle w:val="16"/>
              </w:rPr>
              <w:t>取报价供应商中有效报价最低价格的供应商为成交供应商(明显低于其他报价的应现场提供书面说明或相关证明材料,不能证明合理性的将视作无效投标)。</w:t>
            </w:r>
          </w:p>
        </w:tc>
      </w:tr>
    </w:tbl>
    <w:p>
      <w:pPr>
        <w:spacing w:line="360" w:lineRule="auto"/>
        <w:outlineLvl w:val="1"/>
        <w:rPr>
          <w:rFonts w:ascii="宋体" w:hAnsi="宋体"/>
          <w:b/>
          <w:sz w:val="24"/>
          <w:szCs w:val="18"/>
        </w:rPr>
      </w:pPr>
      <w:bookmarkStart w:id="0" w:name="_Hlk16461016"/>
      <w:r>
        <w:rPr>
          <w:rFonts w:hint="eastAsia" w:ascii="宋体" w:hAnsi="宋体"/>
          <w:b/>
          <w:sz w:val="24"/>
          <w:szCs w:val="18"/>
        </w:rPr>
        <w:t>二、服务需求</w:t>
      </w:r>
    </w:p>
    <w:tbl>
      <w:tblPr>
        <w:tblStyle w:val="14"/>
        <w:tblpPr w:leftFromText="180" w:rightFromText="180" w:vertAnchor="text" w:horzAnchor="page" w:tblpX="1580" w:tblpY="137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6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1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名称</w:t>
            </w:r>
          </w:p>
        </w:tc>
        <w:tc>
          <w:tcPr>
            <w:tcW w:w="681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主要</w:t>
            </w:r>
            <w:bookmarkStart w:id="1" w:name="_GoBack"/>
            <w:bookmarkEnd w:id="1"/>
            <w:r>
              <w:rPr>
                <w:rFonts w:hint="eastAsia" w:ascii="宋体" w:hAnsi="宋体"/>
                <w:sz w:val="28"/>
              </w:rPr>
              <w:t>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2013" w:type="dxa"/>
          </w:tcPr>
          <w:p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安徽省医学科学研究院2023-2025年聘请法律顾问服务询价采购项目</w:t>
            </w:r>
          </w:p>
        </w:tc>
        <w:tc>
          <w:tcPr>
            <w:tcW w:w="6810" w:type="dxa"/>
          </w:tcPr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(1)提供法律咨询；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(2)就我院的行政行为、重大决策等法律事务提供法律意见；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(3) 草拟、审查、修改各类合同及其他法律文书，参与我院规范性文件、规章制度的论证、起草、审查，提出书面修改意见；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 xml:space="preserve">(4)应我院要求出具律师函或法律意见书，维护我院的合法权益； 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(5)参加重要项目谈判或提供专项法律服务，包括尽职调查、调解、起草、修改、审查项目合同等法律文书、签约、交割，办理有关法律手续等；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(6)就我院的诉讼或者仲裁案件提供咨询服务；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（7）讲授法制课，根据我院的需要，每年至少为我院干部职工提供一次法律讲座；</w:t>
            </w:r>
          </w:p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（8）双方约定的其他法律服务项目。</w:t>
            </w:r>
          </w:p>
          <w:p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中标事务所在提供上述法律服务时，除合同或双方另有约定外，不再另行收费。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2013" w:type="dxa"/>
            <w:vAlign w:val="center"/>
          </w:tcPr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本项目对投标人律师配备要求</w:t>
            </w:r>
          </w:p>
        </w:tc>
        <w:tc>
          <w:tcPr>
            <w:tcW w:w="6810" w:type="dxa"/>
          </w:tcPr>
          <w:p>
            <w:pPr>
              <w:spacing w:line="560" w:lineRule="exact"/>
              <w:rPr>
                <w:rFonts w:ascii="宋体" w:hAnsi="宋体" w:cs="Tahoma"/>
                <w:sz w:val="24"/>
                <w:szCs w:val="24"/>
              </w:rPr>
            </w:pPr>
            <w:r>
              <w:rPr>
                <w:rFonts w:hint="eastAsia" w:ascii="宋体" w:hAnsi="宋体" w:cs="Tahoma"/>
                <w:sz w:val="24"/>
                <w:szCs w:val="24"/>
              </w:rPr>
              <w:t>投标人需针对本项目指派1名首席律师专门作为我院的法律顾问，该律师需从事专业律师工作10年以上，具有为医学科研行业等提供过法律咨询服务的工作经验，熟悉卫生政策和法律法规；从事律师工作期间，未受过有关律师执业方面的行政处罚，具有良好的职业道德。</w:t>
            </w:r>
          </w:p>
        </w:tc>
      </w:tr>
    </w:tbl>
    <w:p>
      <w:pPr>
        <w:spacing w:line="560" w:lineRule="exact"/>
        <w:rPr>
          <w:vanish/>
        </w:rPr>
      </w:pPr>
    </w:p>
    <w:p>
      <w:pPr>
        <w:spacing w:line="360" w:lineRule="auto"/>
        <w:outlineLvl w:val="1"/>
        <w:rPr>
          <w:rFonts w:ascii="宋体" w:hAnsi="宋体"/>
          <w:b/>
          <w:sz w:val="24"/>
          <w:szCs w:val="18"/>
        </w:rPr>
      </w:pPr>
    </w:p>
    <w:p>
      <w:pPr>
        <w:spacing w:line="360" w:lineRule="auto"/>
        <w:ind w:firstLine="482" w:firstLineChars="200"/>
        <w:outlineLvl w:val="1"/>
        <w:rPr>
          <w:rFonts w:ascii="宋体" w:hAnsi="宋体"/>
          <w:bCs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三、报价要求</w:t>
      </w:r>
    </w:p>
    <w:bookmarkEnd w:id="0"/>
    <w:p>
      <w:pPr>
        <w:spacing w:line="560" w:lineRule="exact"/>
        <w:rPr>
          <w:rFonts w:hint="eastAsia" w:ascii="宋体" w:hAnsi="宋体" w:cs="Tahoma"/>
          <w:sz w:val="24"/>
          <w:szCs w:val="24"/>
          <w:lang w:eastAsia="zh-CN"/>
        </w:rPr>
      </w:pPr>
      <w:r>
        <w:rPr>
          <w:rFonts w:hint="eastAsia" w:ascii="宋体" w:hAnsi="宋体" w:cs="Tahoma"/>
          <w:sz w:val="24"/>
          <w:szCs w:val="24"/>
        </w:rPr>
        <w:t>按年度报价。鉴于代理诉讼活动或仲裁案件费用另行计算，在询价中也进行报价</w:t>
      </w:r>
      <w:r>
        <w:rPr>
          <w:rFonts w:hint="eastAsia" w:ascii="宋体" w:hAnsi="宋体" w:cs="Tahoma"/>
          <w:sz w:val="24"/>
          <w:szCs w:val="24"/>
          <w:lang w:eastAsia="zh-CN"/>
        </w:rPr>
        <w:t>。</w:t>
      </w:r>
    </w:p>
    <w:p>
      <w:pPr>
        <w:spacing w:line="360" w:lineRule="auto"/>
        <w:ind w:firstLine="482" w:firstLineChars="200"/>
        <w:outlineLvl w:val="1"/>
        <w:rPr>
          <w:rFonts w:hint="eastAsia"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四、</w:t>
      </w:r>
      <w:r>
        <w:rPr>
          <w:rFonts w:hint="eastAsia" w:ascii="宋体" w:hAnsi="宋体"/>
          <w:b/>
          <w:sz w:val="24"/>
          <w:szCs w:val="18"/>
          <w:lang w:val="en-US" w:eastAsia="zh-CN"/>
        </w:rPr>
        <w:t>成交原则</w:t>
      </w:r>
    </w:p>
    <w:p>
      <w:pPr>
        <w:spacing w:line="560" w:lineRule="exact"/>
        <w:rPr>
          <w:rFonts w:hint="eastAsia" w:ascii="宋体" w:hAnsi="宋体" w:cs="Tahoma"/>
          <w:sz w:val="24"/>
          <w:szCs w:val="24"/>
          <w:lang w:val="en-US" w:eastAsia="zh-CN"/>
        </w:rPr>
      </w:pPr>
      <w:r>
        <w:rPr>
          <w:rFonts w:hint="eastAsia" w:ascii="宋体" w:hAnsi="宋体" w:cs="Tahoma"/>
          <w:sz w:val="24"/>
          <w:szCs w:val="24"/>
          <w:lang w:val="en-US" w:eastAsia="zh-CN"/>
        </w:rPr>
        <w:t>取报价供应商中有效报价最低价格的供应商为成交供应商(明显低于其他报价的应现场提供书面说明或相关证明材料,不能证明合理性的将视作无效投标)。</w:t>
      </w:r>
    </w:p>
    <w:p>
      <w:pPr>
        <w:spacing w:line="560" w:lineRule="exact"/>
        <w:rPr>
          <w:rFonts w:hint="eastAsia" w:ascii="宋体" w:hAnsi="宋体" w:cs="Tahom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@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15CEA"/>
    <w:multiLevelType w:val="singleLevel"/>
    <w:tmpl w:val="58715C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MzhkODI5NDUyMzY5Y2FlMzQxNDY3NjMyN2E2MmIifQ=="/>
  </w:docVars>
  <w:rsids>
    <w:rsidRoot w:val="283D7CCB"/>
    <w:rsid w:val="002D4314"/>
    <w:rsid w:val="0033722A"/>
    <w:rsid w:val="003F07AB"/>
    <w:rsid w:val="00404CD4"/>
    <w:rsid w:val="00504DE8"/>
    <w:rsid w:val="005D1F98"/>
    <w:rsid w:val="0065617D"/>
    <w:rsid w:val="00822B3A"/>
    <w:rsid w:val="008F091A"/>
    <w:rsid w:val="0096233A"/>
    <w:rsid w:val="00AC61E7"/>
    <w:rsid w:val="00B152F0"/>
    <w:rsid w:val="00C47BBB"/>
    <w:rsid w:val="00C67C78"/>
    <w:rsid w:val="00EB427F"/>
    <w:rsid w:val="01124575"/>
    <w:rsid w:val="01541545"/>
    <w:rsid w:val="01DB00CC"/>
    <w:rsid w:val="02047618"/>
    <w:rsid w:val="028430E6"/>
    <w:rsid w:val="028C3EEB"/>
    <w:rsid w:val="0380702D"/>
    <w:rsid w:val="03BB7188"/>
    <w:rsid w:val="04191A7A"/>
    <w:rsid w:val="04C25803"/>
    <w:rsid w:val="052B39D5"/>
    <w:rsid w:val="05A00DE0"/>
    <w:rsid w:val="05D262FF"/>
    <w:rsid w:val="05E054D0"/>
    <w:rsid w:val="05F764AD"/>
    <w:rsid w:val="05F9515E"/>
    <w:rsid w:val="05FA493C"/>
    <w:rsid w:val="06676A1D"/>
    <w:rsid w:val="06986ACD"/>
    <w:rsid w:val="06D128B1"/>
    <w:rsid w:val="072675BD"/>
    <w:rsid w:val="078065C5"/>
    <w:rsid w:val="07E6385C"/>
    <w:rsid w:val="08136877"/>
    <w:rsid w:val="0881589C"/>
    <w:rsid w:val="08823B6B"/>
    <w:rsid w:val="094B3793"/>
    <w:rsid w:val="09D83B2A"/>
    <w:rsid w:val="09E225A0"/>
    <w:rsid w:val="0A4056E2"/>
    <w:rsid w:val="0AE21282"/>
    <w:rsid w:val="0B265F6D"/>
    <w:rsid w:val="0B75749C"/>
    <w:rsid w:val="0BF01013"/>
    <w:rsid w:val="0C0353A6"/>
    <w:rsid w:val="0C0D19A6"/>
    <w:rsid w:val="0C1868AF"/>
    <w:rsid w:val="0C7F0049"/>
    <w:rsid w:val="0C971810"/>
    <w:rsid w:val="0E493D8F"/>
    <w:rsid w:val="0E4E532A"/>
    <w:rsid w:val="0E676F86"/>
    <w:rsid w:val="0E9D00C6"/>
    <w:rsid w:val="0F2E733F"/>
    <w:rsid w:val="0FED3377"/>
    <w:rsid w:val="1036703B"/>
    <w:rsid w:val="10496A25"/>
    <w:rsid w:val="10D249AB"/>
    <w:rsid w:val="11343A9B"/>
    <w:rsid w:val="11FC2951"/>
    <w:rsid w:val="123C689E"/>
    <w:rsid w:val="125E79A8"/>
    <w:rsid w:val="12A05428"/>
    <w:rsid w:val="12AE21E1"/>
    <w:rsid w:val="13881618"/>
    <w:rsid w:val="13C118A4"/>
    <w:rsid w:val="14267F1F"/>
    <w:rsid w:val="14350A61"/>
    <w:rsid w:val="144C539B"/>
    <w:rsid w:val="150D7765"/>
    <w:rsid w:val="152C783C"/>
    <w:rsid w:val="153C4FB3"/>
    <w:rsid w:val="156729C7"/>
    <w:rsid w:val="16983D2A"/>
    <w:rsid w:val="16997621"/>
    <w:rsid w:val="16C80A85"/>
    <w:rsid w:val="17C57809"/>
    <w:rsid w:val="18351FB8"/>
    <w:rsid w:val="184135FB"/>
    <w:rsid w:val="18555080"/>
    <w:rsid w:val="18936C44"/>
    <w:rsid w:val="19032F9D"/>
    <w:rsid w:val="19112DD1"/>
    <w:rsid w:val="1A90358C"/>
    <w:rsid w:val="1ABF7452"/>
    <w:rsid w:val="1AE0240E"/>
    <w:rsid w:val="1B081DE8"/>
    <w:rsid w:val="1B2857A5"/>
    <w:rsid w:val="1B2960F8"/>
    <w:rsid w:val="1B3E655E"/>
    <w:rsid w:val="1B4E0423"/>
    <w:rsid w:val="1B7F2A4B"/>
    <w:rsid w:val="1B9B54F6"/>
    <w:rsid w:val="1BC944A4"/>
    <w:rsid w:val="1C0C3CE6"/>
    <w:rsid w:val="1C3D314A"/>
    <w:rsid w:val="1C4836FA"/>
    <w:rsid w:val="1D570EF5"/>
    <w:rsid w:val="1D666E17"/>
    <w:rsid w:val="1D71039E"/>
    <w:rsid w:val="1D8E2073"/>
    <w:rsid w:val="1D9C682B"/>
    <w:rsid w:val="1DD20ACC"/>
    <w:rsid w:val="1E862121"/>
    <w:rsid w:val="1EC5551C"/>
    <w:rsid w:val="1FDC30C4"/>
    <w:rsid w:val="204B074D"/>
    <w:rsid w:val="20512F8A"/>
    <w:rsid w:val="205852A8"/>
    <w:rsid w:val="206F72A5"/>
    <w:rsid w:val="20D649F1"/>
    <w:rsid w:val="20FD6B65"/>
    <w:rsid w:val="210B7B62"/>
    <w:rsid w:val="2134620A"/>
    <w:rsid w:val="21EE09FE"/>
    <w:rsid w:val="223A74A8"/>
    <w:rsid w:val="22640D9C"/>
    <w:rsid w:val="22797723"/>
    <w:rsid w:val="229A477F"/>
    <w:rsid w:val="2314038B"/>
    <w:rsid w:val="23A92C90"/>
    <w:rsid w:val="23BB1BC7"/>
    <w:rsid w:val="23BF234D"/>
    <w:rsid w:val="24651C41"/>
    <w:rsid w:val="24923EDE"/>
    <w:rsid w:val="24D7170D"/>
    <w:rsid w:val="25636805"/>
    <w:rsid w:val="259176D7"/>
    <w:rsid w:val="25CF0154"/>
    <w:rsid w:val="25FE79D7"/>
    <w:rsid w:val="25FF6159"/>
    <w:rsid w:val="261A1FDC"/>
    <w:rsid w:val="26662C8C"/>
    <w:rsid w:val="26BB41B1"/>
    <w:rsid w:val="27330A07"/>
    <w:rsid w:val="27551721"/>
    <w:rsid w:val="283D7CCB"/>
    <w:rsid w:val="28773396"/>
    <w:rsid w:val="29631F57"/>
    <w:rsid w:val="2A7619FB"/>
    <w:rsid w:val="2AA57BCB"/>
    <w:rsid w:val="2B3A706D"/>
    <w:rsid w:val="2B544ED3"/>
    <w:rsid w:val="2CA412B2"/>
    <w:rsid w:val="2CEA296A"/>
    <w:rsid w:val="2D3F779A"/>
    <w:rsid w:val="2D8C439A"/>
    <w:rsid w:val="2DAC5A6F"/>
    <w:rsid w:val="2DE5310A"/>
    <w:rsid w:val="2DF40C20"/>
    <w:rsid w:val="2E0538B8"/>
    <w:rsid w:val="2EB0096E"/>
    <w:rsid w:val="2FA13A4A"/>
    <w:rsid w:val="30440512"/>
    <w:rsid w:val="30D21275"/>
    <w:rsid w:val="30E7396C"/>
    <w:rsid w:val="310659F5"/>
    <w:rsid w:val="31710E90"/>
    <w:rsid w:val="31CE50DB"/>
    <w:rsid w:val="323049C6"/>
    <w:rsid w:val="32B11B03"/>
    <w:rsid w:val="3305279E"/>
    <w:rsid w:val="33B85A44"/>
    <w:rsid w:val="3455241F"/>
    <w:rsid w:val="3478637D"/>
    <w:rsid w:val="34A47C8E"/>
    <w:rsid w:val="35986562"/>
    <w:rsid w:val="366D1EA0"/>
    <w:rsid w:val="36744263"/>
    <w:rsid w:val="37296A11"/>
    <w:rsid w:val="372E3070"/>
    <w:rsid w:val="373D210B"/>
    <w:rsid w:val="3754231A"/>
    <w:rsid w:val="37BF36F4"/>
    <w:rsid w:val="37C20048"/>
    <w:rsid w:val="390C152D"/>
    <w:rsid w:val="39814930"/>
    <w:rsid w:val="39B052F6"/>
    <w:rsid w:val="39E4755B"/>
    <w:rsid w:val="3AA71527"/>
    <w:rsid w:val="3ACB7F18"/>
    <w:rsid w:val="3C0A78EF"/>
    <w:rsid w:val="3C360384"/>
    <w:rsid w:val="3CBA423D"/>
    <w:rsid w:val="3D6E170B"/>
    <w:rsid w:val="3DBB3AEA"/>
    <w:rsid w:val="3DEA69C7"/>
    <w:rsid w:val="3FC61B1C"/>
    <w:rsid w:val="3FE659C0"/>
    <w:rsid w:val="40E4781A"/>
    <w:rsid w:val="40E75D23"/>
    <w:rsid w:val="411D39FE"/>
    <w:rsid w:val="41995594"/>
    <w:rsid w:val="41B01B89"/>
    <w:rsid w:val="423C53B8"/>
    <w:rsid w:val="42B631C9"/>
    <w:rsid w:val="432E7796"/>
    <w:rsid w:val="43E607E5"/>
    <w:rsid w:val="442E257F"/>
    <w:rsid w:val="44337B9C"/>
    <w:rsid w:val="445A6727"/>
    <w:rsid w:val="44E1321E"/>
    <w:rsid w:val="45913053"/>
    <w:rsid w:val="45934FF6"/>
    <w:rsid w:val="45CA612E"/>
    <w:rsid w:val="462040CE"/>
    <w:rsid w:val="46B21A95"/>
    <w:rsid w:val="485B5C59"/>
    <w:rsid w:val="49905400"/>
    <w:rsid w:val="49A42A23"/>
    <w:rsid w:val="4A337EBD"/>
    <w:rsid w:val="4B143AC9"/>
    <w:rsid w:val="4C812F6A"/>
    <w:rsid w:val="4CA34494"/>
    <w:rsid w:val="4CCB1225"/>
    <w:rsid w:val="4D791FF7"/>
    <w:rsid w:val="4DE37EFE"/>
    <w:rsid w:val="4E0D4D40"/>
    <w:rsid w:val="4EDC22A0"/>
    <w:rsid w:val="4F0F35E8"/>
    <w:rsid w:val="4F3F7FF1"/>
    <w:rsid w:val="4FCD4202"/>
    <w:rsid w:val="50053064"/>
    <w:rsid w:val="5021252C"/>
    <w:rsid w:val="506302C6"/>
    <w:rsid w:val="508F080F"/>
    <w:rsid w:val="50D57712"/>
    <w:rsid w:val="50DC5FE8"/>
    <w:rsid w:val="515D21F2"/>
    <w:rsid w:val="51AB7751"/>
    <w:rsid w:val="52352CF3"/>
    <w:rsid w:val="52A7393A"/>
    <w:rsid w:val="52D62953"/>
    <w:rsid w:val="5389098F"/>
    <w:rsid w:val="53922923"/>
    <w:rsid w:val="545D63DC"/>
    <w:rsid w:val="5483364A"/>
    <w:rsid w:val="54EF5998"/>
    <w:rsid w:val="55440DC9"/>
    <w:rsid w:val="562D7ACA"/>
    <w:rsid w:val="56A57385"/>
    <w:rsid w:val="56B3547D"/>
    <w:rsid w:val="56B57E14"/>
    <w:rsid w:val="57501D88"/>
    <w:rsid w:val="57E54513"/>
    <w:rsid w:val="58AD0F94"/>
    <w:rsid w:val="59483777"/>
    <w:rsid w:val="597A0DEB"/>
    <w:rsid w:val="59DF3C91"/>
    <w:rsid w:val="5A853DFA"/>
    <w:rsid w:val="5AD12C54"/>
    <w:rsid w:val="5ADA3041"/>
    <w:rsid w:val="5AEE489E"/>
    <w:rsid w:val="5C170F97"/>
    <w:rsid w:val="5D0D4841"/>
    <w:rsid w:val="5D1F3502"/>
    <w:rsid w:val="5D4D2B87"/>
    <w:rsid w:val="5D8021CB"/>
    <w:rsid w:val="5DA935E8"/>
    <w:rsid w:val="5DD1520C"/>
    <w:rsid w:val="5F63566C"/>
    <w:rsid w:val="5FA1418D"/>
    <w:rsid w:val="5FA2535B"/>
    <w:rsid w:val="60A93180"/>
    <w:rsid w:val="60AA18FA"/>
    <w:rsid w:val="615F0349"/>
    <w:rsid w:val="61E57A84"/>
    <w:rsid w:val="62E5007F"/>
    <w:rsid w:val="62F651DB"/>
    <w:rsid w:val="63B068B3"/>
    <w:rsid w:val="642F4D3E"/>
    <w:rsid w:val="6498384E"/>
    <w:rsid w:val="656E1228"/>
    <w:rsid w:val="65AB7750"/>
    <w:rsid w:val="65C06CBE"/>
    <w:rsid w:val="65C20408"/>
    <w:rsid w:val="65EC59DC"/>
    <w:rsid w:val="662509A5"/>
    <w:rsid w:val="666D1DE3"/>
    <w:rsid w:val="66E32B89"/>
    <w:rsid w:val="66F65239"/>
    <w:rsid w:val="675409DD"/>
    <w:rsid w:val="67DE6721"/>
    <w:rsid w:val="67E103BC"/>
    <w:rsid w:val="699F4B8F"/>
    <w:rsid w:val="69BD0469"/>
    <w:rsid w:val="69FF1010"/>
    <w:rsid w:val="6AAC6119"/>
    <w:rsid w:val="6ADB35FA"/>
    <w:rsid w:val="6AFC71E2"/>
    <w:rsid w:val="6B624A08"/>
    <w:rsid w:val="6B901D96"/>
    <w:rsid w:val="6B95435B"/>
    <w:rsid w:val="6CB0263D"/>
    <w:rsid w:val="6CB1542B"/>
    <w:rsid w:val="6E622625"/>
    <w:rsid w:val="6F7B7D77"/>
    <w:rsid w:val="7028098F"/>
    <w:rsid w:val="70714EA9"/>
    <w:rsid w:val="70B00E4A"/>
    <w:rsid w:val="70E301C0"/>
    <w:rsid w:val="717C28E2"/>
    <w:rsid w:val="71EA03FE"/>
    <w:rsid w:val="72032FEC"/>
    <w:rsid w:val="723A6E44"/>
    <w:rsid w:val="728B5E54"/>
    <w:rsid w:val="72B207BE"/>
    <w:rsid w:val="72CA50B4"/>
    <w:rsid w:val="730A1957"/>
    <w:rsid w:val="73BB6E39"/>
    <w:rsid w:val="746542F1"/>
    <w:rsid w:val="74D17F18"/>
    <w:rsid w:val="75516B60"/>
    <w:rsid w:val="75755492"/>
    <w:rsid w:val="75FF7F7F"/>
    <w:rsid w:val="764D202E"/>
    <w:rsid w:val="76C74010"/>
    <w:rsid w:val="76D8194E"/>
    <w:rsid w:val="776244F3"/>
    <w:rsid w:val="778031C3"/>
    <w:rsid w:val="780E2288"/>
    <w:rsid w:val="787B1338"/>
    <w:rsid w:val="789C31AF"/>
    <w:rsid w:val="78EC1AE4"/>
    <w:rsid w:val="7979E9BF"/>
    <w:rsid w:val="79DE25B4"/>
    <w:rsid w:val="7A4F470D"/>
    <w:rsid w:val="7A5B4B7C"/>
    <w:rsid w:val="7A920B76"/>
    <w:rsid w:val="7B241602"/>
    <w:rsid w:val="7C2A7B5E"/>
    <w:rsid w:val="7C806AE9"/>
    <w:rsid w:val="7CA82E78"/>
    <w:rsid w:val="7D13146C"/>
    <w:rsid w:val="7D154F08"/>
    <w:rsid w:val="7DE062E7"/>
    <w:rsid w:val="7E05291D"/>
    <w:rsid w:val="7EA1107A"/>
    <w:rsid w:val="E5FE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3"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link w:val="20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1"/>
    <w:qFormat/>
    <w:uiPriority w:val="0"/>
    <w:rPr>
      <w:sz w:val="18"/>
      <w:szCs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4"/>
    <w:uiPriority w:val="0"/>
    <w:rPr>
      <w:b/>
      <w:bCs/>
    </w:rPr>
  </w:style>
  <w:style w:type="paragraph" w:styleId="13">
    <w:name w:val="Body Text First Indent 2"/>
    <w:basedOn w:val="7"/>
    <w:unhideWhenUsed/>
    <w:qFormat/>
    <w:uiPriority w:val="99"/>
    <w:pPr>
      <w:spacing w:after="0"/>
      <w:ind w:left="0" w:leftChars="0" w:firstLine="420" w:firstLineChars="200"/>
    </w:pPr>
    <w:rPr>
      <w:rFonts w:ascii="宋体" w:hAnsi="宋体"/>
      <w:color w:val="000000"/>
      <w:sz w:val="24"/>
    </w:rPr>
  </w:style>
  <w:style w:type="character" w:styleId="16">
    <w:name w:val="annotation reference"/>
    <w:basedOn w:val="15"/>
    <w:uiPriority w:val="0"/>
    <w:rPr>
      <w:sz w:val="21"/>
      <w:szCs w:val="21"/>
    </w:rPr>
  </w:style>
  <w:style w:type="paragraph" w:customStyle="1" w:styleId="17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18">
    <w:name w:val="*正文"/>
    <w:basedOn w:val="1"/>
    <w:qFormat/>
    <w:uiPriority w:val="0"/>
    <w:pPr>
      <w:spacing w:line="300" w:lineRule="auto"/>
      <w:ind w:firstLine="480" w:firstLineChars="200"/>
    </w:pPr>
    <w:rPr>
      <w:rFonts w:ascii="宋体" w:hAnsi="宋体" w:eastAsia="Times New Roman"/>
      <w:kern w:val="0"/>
      <w:sz w:val="24"/>
      <w:szCs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纯文本 Char"/>
    <w:basedOn w:val="15"/>
    <w:link w:val="8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1">
    <w:name w:val="批注框文本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批注文字 Char"/>
    <w:basedOn w:val="15"/>
    <w:link w:val="6"/>
    <w:uiPriority w:val="0"/>
    <w:rPr>
      <w:kern w:val="2"/>
      <w:sz w:val="21"/>
    </w:rPr>
  </w:style>
  <w:style w:type="character" w:customStyle="1" w:styleId="24">
    <w:name w:val="批注主题 Char"/>
    <w:basedOn w:val="23"/>
    <w:link w:val="12"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1947</Words>
  <Characters>2057</Characters>
  <Lines>15</Lines>
  <Paragraphs>4</Paragraphs>
  <TotalTime>8</TotalTime>
  <ScaleCrop>false</ScaleCrop>
  <LinksUpToDate>false</LinksUpToDate>
  <CharactersWithSpaces>2072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2022-12-14T04:26:00Z</dcterms:created>
  <dc:creator>571011215@qq.com</dc:creator>
  <cp:lastModifiedBy>娜小赵</cp:lastModifiedBy>
  <cp:lastPrinted>2022-04-23T00:28:00Z</cp:lastPrinted>
  <dcterms:modified xsi:type="dcterms:W3CDTF">2022-12-14T08:41:55Z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864DDDAB91554AC0B56648FDF6232547</vt:lpwstr>
  </property>
</Properties>
</file>